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C9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  <w:lang w:eastAsia="zh-HK"/>
        </w:rPr>
      </w:pPr>
      <w:bookmarkStart w:id="0" w:name="_GoBack"/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「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10</w:t>
      </w:r>
      <w:r w:rsidR="004D7C27"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6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學年度咱糧學堂－復興國產雜糧計畫」</w:t>
      </w:r>
      <w:r w:rsidR="000A3EC9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  <w:lang w:eastAsia="zh-HK"/>
        </w:rPr>
        <w:t>說明會</w:t>
      </w:r>
    </w:p>
    <w:bookmarkEnd w:id="0"/>
    <w:p w:rsidR="00AB1174" w:rsidRPr="004D7C27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研習計畫</w:t>
      </w:r>
    </w:p>
    <w:p w:rsidR="004D7C27" w:rsidRDefault="004D7C27" w:rsidP="004D7C27">
      <w:pPr>
        <w:spacing w:beforeLines="50" w:before="163" w:afterLines="50" w:after="163" w:line="400" w:lineRule="exact"/>
        <w:ind w:firstLineChars="177" w:firstLine="425"/>
        <w:jc w:val="righ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Cs w:val="24"/>
          <w:shd w:val="clear" w:color="auto" w:fill="FFFFFF"/>
        </w:rPr>
        <w:t>1060</w:t>
      </w:r>
      <w:r w:rsidR="00131C3B">
        <w:rPr>
          <w:rFonts w:asciiTheme="majorHAnsi" w:hAnsiTheme="majorHAnsi" w:cs="Arial"/>
          <w:color w:val="222222"/>
          <w:szCs w:val="24"/>
          <w:shd w:val="clear" w:color="auto" w:fill="FFFFFF"/>
        </w:rPr>
        <w:t>8</w:t>
      </w:r>
      <w:r w:rsidR="00A448B9">
        <w:rPr>
          <w:rFonts w:asciiTheme="majorHAnsi" w:hAnsiTheme="majorHAnsi" w:cs="Arial"/>
          <w:color w:val="222222"/>
          <w:szCs w:val="24"/>
          <w:shd w:val="clear" w:color="auto" w:fill="FFFFFF"/>
        </w:rPr>
        <w:t>0</w:t>
      </w:r>
      <w:r w:rsidR="00131C3B">
        <w:rPr>
          <w:rFonts w:asciiTheme="majorHAnsi" w:hAnsiTheme="majorHAnsi" w:cs="Arial"/>
          <w:color w:val="222222"/>
          <w:szCs w:val="24"/>
          <w:shd w:val="clear" w:color="auto" w:fill="FFFFFF"/>
        </w:rPr>
        <w:t>7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版</w:t>
      </w:r>
    </w:p>
    <w:p w:rsidR="00AB1174" w:rsidRPr="008B6203" w:rsidRDefault="00AB1174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年「全國教師工會總聯合會」與「喜願小麥契作農友團」開始共同發起</w:t>
      </w:r>
      <w:hyperlink r:id="rId8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F93BF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EE4D32">
        <w:rPr>
          <w:rFonts w:asciiTheme="majorHAnsi" w:hAnsiTheme="majorHAnsi" w:cs="Arial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03022F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使教師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師更明瞭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糧食與環境的連動關係</w:t>
      </w:r>
      <w:r w:rsidR="008C6C41">
        <w:rPr>
          <w:rFonts w:asciiTheme="majorHAnsi" w:hAnsiTheme="majorHAnsi" w:cs="Arial"/>
          <w:color w:val="222222"/>
          <w:szCs w:val="24"/>
          <w:shd w:val="clear" w:color="auto" w:fill="FFFFFF"/>
          <w:lang w:eastAsia="zh-HK"/>
        </w:rPr>
        <w:t>……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等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全教總與喜願共合國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合作辦理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的教師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課程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，特別邀請喜願共合國總兼施明煌先生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全國教師工會總聯合會承辦業務的專業發展中心執行長顧翠琴老師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，與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來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共同在研習活動中進行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讓您能在研習的時間裡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迅速理解教師組織在推動咱糧學堂的深耕努力及重要性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106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學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</w:t>
      </w:r>
      <w:r w:rsidR="0003022F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03022F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，從而引導孩子從種植中學習生活的知識外，更要讓孩子認識「咱糧」的重要性。</w:t>
      </w:r>
    </w:p>
    <w:p w:rsidR="0003022F" w:rsidRDefault="0003022F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激發參與教師理解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糧食自給率對國家發展的重要性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以及糧食與環境的連動關係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進而落實帶動學生從生活實踐中支持國產咱糧的行動方案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基隆市教師職業工會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新北市教育人員產業工會、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台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南市教育產業工會、高雄市教師職業工會、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宜蘭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縣教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師職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Default="00D37A50" w:rsidP="00412085">
      <w:pPr>
        <w:numPr>
          <w:ilvl w:val="2"/>
          <w:numId w:val="1"/>
        </w:numPr>
        <w:tabs>
          <w:tab w:val="left" w:pos="567"/>
        </w:tabs>
        <w:spacing w:line="400" w:lineRule="exact"/>
        <w:ind w:left="709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802640</wp:posOffset>
                </wp:positionV>
                <wp:extent cx="1516380" cy="434340"/>
                <wp:effectExtent l="13335" t="24765" r="13335" b="266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434340"/>
                        </a:xfrm>
                        <a:prstGeom prst="notchedRightArrow">
                          <a:avLst>
                            <a:gd name="adj1" fmla="val 67546"/>
                            <a:gd name="adj2" fmla="val 26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7F750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" o:spid="_x0000_s1026" type="#_x0000_t94" style="position:absolute;margin-left:155.1pt;margin-top:63.2pt;width:119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" adj="19951,3505"/>
            </w:pict>
          </mc:Fallback>
        </mc:AlternateContent>
      </w: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753110</wp:posOffset>
                </wp:positionV>
                <wp:extent cx="1341120" cy="754380"/>
                <wp:effectExtent l="0" t="381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GOOGLE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單</w:t>
                            </w:r>
                          </w:p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9pt;margin-top:59.3pt;width:105.6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" stroked="f">
                <v:textbox>
                  <w:txbxContent>
                    <w:p w:rsidR="00623CC0" w:rsidRDefault="00623CC0">
                      <w:r>
                        <w:rPr>
                          <w:rFonts w:hint="eastAsia"/>
                        </w:rPr>
                        <w:t>GOOGLE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單</w:t>
                      </w:r>
                    </w:p>
                    <w:p w:rsidR="00623CC0" w:rsidRDefault="00623CC0">
                      <w:r>
                        <w:rPr>
                          <w:rFonts w:hint="eastAsia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623CC0">
        <w:rPr>
          <w:rFonts w:asciiTheme="majorHAnsi" w:hAnsiTheme="majorHAnsi" w:cs="Arial" w:hint="eastAsia"/>
          <w:noProof/>
          <w:color w:val="222222"/>
          <w:szCs w:val="24"/>
          <w:shd w:val="clear" w:color="auto" w:fill="FFFFFF"/>
        </w:rPr>
        <w:drawing>
          <wp:anchor distT="0" distB="0" distL="114300" distR="114300" simplePos="0" relativeHeight="251676672" behindDoc="0" locked="0" layoutInCell="1" allowOverlap="1" wp14:anchorId="31F78B99" wp14:editId="00B328C1">
            <wp:simplePos x="0" y="0"/>
            <wp:positionH relativeFrom="column">
              <wp:posOffset>3524250</wp:posOffset>
            </wp:positionH>
            <wp:positionV relativeFrom="paragraph">
              <wp:posOffset>303530</wp:posOffset>
            </wp:positionV>
            <wp:extent cx="1821180" cy="168402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咱糧分享會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</w:t>
      </w:r>
      <w:r w:rsidR="00B573B7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  <w:lang w:eastAsia="zh-HK"/>
        </w:rPr>
        <w:t>逕行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至「全國教師進修網」報名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填寫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google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表</w:t>
      </w:r>
      <w:r w:rsidR="00412085" w:rsidRPr="00CD74B3">
        <w:rPr>
          <w:rFonts w:asciiTheme="majorHAnsi" w:hAnsiTheme="majorHAnsi" w:cs="Arial"/>
          <w:b/>
          <w:color w:val="222222"/>
          <w:szCs w:val="24"/>
          <w:shd w:val="clear" w:color="auto" w:fill="FFFFFF"/>
        </w:rPr>
        <w:t>單</w:t>
      </w:r>
      <w:r w:rsidR="00CD74B3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。</w:t>
      </w:r>
    </w:p>
    <w:p w:rsidR="00AB1174" w:rsidRPr="00623CC0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lastRenderedPageBreak/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參與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臺南場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教師核發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研習時間、地點：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共有七場次研習活動，歡迎您踴躍參加~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2410"/>
        <w:gridCol w:w="3685"/>
      </w:tblGrid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Pr="00FC69AD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763FA7" w:rsidTr="004D7C27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Pr="0003022F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B573B7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台中市</w:t>
            </w:r>
            <w:r w:rsidR="00B573B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南屯區鎮平國小</w:t>
            </w:r>
            <w:r w:rsid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四樓視廳教室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FA7" w:rsidRPr="00FC69AD" w:rsidRDefault="00FC69AD" w:rsidP="00FC69AD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台中市南屯區黎明路一段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425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E537A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桃園市大華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二樓圖書室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桃園市蘆竹區大華街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98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0A5912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市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教師職業工會</w:t>
            </w:r>
          </w:p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高雄市苓雅區輔仁路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155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新北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渣打銀行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-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052E96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新北市板橋區新府路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1-1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號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2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樓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8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32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八堵國小</w:t>
            </w:r>
          </w:p>
          <w:p w:rsidR="00763FA7" w:rsidRDefault="00EE4D3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圖書館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基隆市暖暖區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源遠路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27</w:t>
            </w:r>
            <w:r w:rsidR="00763FA7"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E544FF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1:30-4:30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臺南市官田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民中學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南市官田區隆田里三民路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29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7F476C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縣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成功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學</w:t>
            </w:r>
          </w:p>
          <w:p w:rsidR="000A3EC9" w:rsidRDefault="000A3EC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辰星樓一樓多功能教室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175F41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宜蘭縣羅東鎮興東南路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100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7E64A3" w:rsidRPr="004778FA" w:rsidRDefault="007E64A3" w:rsidP="007E64A3">
      <w:pPr>
        <w:pStyle w:val="aa"/>
        <w:rPr>
          <w:rFonts w:ascii="標楷體" w:eastAsia="標楷體" w:hAnsi="標楷體"/>
          <w:szCs w:val="24"/>
        </w:rPr>
      </w:pPr>
    </w:p>
    <w:p w:rsidR="007E64A3" w:rsidRPr="007E64A3" w:rsidRDefault="007E64A3" w:rsidP="007E64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九</w:t>
      </w:r>
      <w:r>
        <w:rPr>
          <w:rFonts w:ascii="新細明體" w:hAnsi="新細明體" w:hint="eastAsia"/>
          <w:szCs w:val="24"/>
          <w:lang w:eastAsia="zh-HK"/>
        </w:rPr>
        <w:t>、</w:t>
      </w:r>
      <w:r w:rsidRPr="007E64A3">
        <w:rPr>
          <w:rFonts w:ascii="標楷體" w:eastAsia="標楷體" w:hAnsi="標楷體" w:hint="eastAsia"/>
          <w:szCs w:val="24"/>
        </w:rPr>
        <w:t>研習活動實施流程：</w:t>
      </w:r>
    </w:p>
    <w:p w:rsidR="007E64A3" w:rsidRPr="004778FA" w:rsidRDefault="007E64A3" w:rsidP="007E64A3">
      <w:pPr>
        <w:rPr>
          <w:rFonts w:ascii="標楷體" w:eastAsia="標楷體" w:hAnsi="標楷體"/>
          <w:szCs w:val="24"/>
        </w:rPr>
      </w:pPr>
    </w:p>
    <w:p w:rsidR="007E64A3" w:rsidRPr="004778FA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新細明體" w:hAnsi="新細明體" w:hint="eastAsia"/>
          <w:szCs w:val="24"/>
          <w:lang w:eastAsia="zh-HK"/>
        </w:rPr>
        <w:t>）</w:t>
      </w:r>
      <w:r w:rsidR="00691F98" w:rsidRPr="00691F98">
        <w:rPr>
          <w:rFonts w:ascii="標楷體" w:eastAsia="標楷體" w:hAnsi="標楷體" w:hint="eastAsia"/>
          <w:szCs w:val="24"/>
          <w:lang w:eastAsia="zh-HK"/>
        </w:rPr>
        <w:t>（除臺南場外之）</w:t>
      </w:r>
      <w:r w:rsidR="007E64A3" w:rsidRPr="004778FA">
        <w:rPr>
          <w:rFonts w:ascii="標楷體" w:eastAsia="標楷體" w:hAnsi="標楷體" w:hint="eastAsia"/>
          <w:szCs w:val="24"/>
        </w:rPr>
        <w:t>各場次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研習課程（不含臺南場研習時間安排）：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4287"/>
        <w:gridCol w:w="3477"/>
      </w:tblGrid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7E64A3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13：5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Pr="007E64A3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7E64A3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B235AD">
              <w:rPr>
                <w:rFonts w:ascii="標楷體" w:eastAsia="標楷體" w:hAnsi="標楷體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3E31F0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="007E64A3"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3E31F0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親師交流時間</w:t>
            </w:r>
          </w:p>
        </w:tc>
        <w:tc>
          <w:tcPr>
            <w:tcW w:w="1764" w:type="pct"/>
          </w:tcPr>
          <w:p w:rsidR="007E64A3" w:rsidRPr="003908BC" w:rsidRDefault="00B235AD" w:rsidP="003E31F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15：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總咱糧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微電影</w:t>
            </w:r>
            <w:r w:rsidR="004D0238" w:rsidRPr="003908BC">
              <w:rPr>
                <w:rFonts w:ascii="標楷體" w:eastAsia="標楷體" w:hAnsi="標楷體" w:hint="eastAsia"/>
                <w:szCs w:val="24"/>
              </w:rPr>
              <w:t>介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紹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20~15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175" w:type="pct"/>
          </w:tcPr>
          <w:p w:rsidR="007E64A3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B235AD" w:rsidRPr="003908BC" w:rsidTr="009850BE">
        <w:trPr>
          <w:jc w:val="center"/>
        </w:trPr>
        <w:tc>
          <w:tcPr>
            <w:tcW w:w="1061" w:type="pct"/>
          </w:tcPr>
          <w:p w:rsidR="00B235AD" w:rsidRPr="003908BC" w:rsidRDefault="00B235AD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40~16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B235AD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綜合討論</w:t>
            </w:r>
          </w:p>
        </w:tc>
        <w:tc>
          <w:tcPr>
            <w:tcW w:w="1764" w:type="pct"/>
          </w:tcPr>
          <w:p w:rsidR="00B235AD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全體參與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64A3" w:rsidRPr="004778FA" w:rsidRDefault="007E64A3" w:rsidP="00B235AD">
      <w:pPr>
        <w:jc w:val="center"/>
        <w:rPr>
          <w:rFonts w:ascii="標楷體" w:eastAsia="標楷體" w:hAnsi="標楷體"/>
          <w:szCs w:val="24"/>
        </w:rPr>
      </w:pPr>
    </w:p>
    <w:p w:rsidR="007E64A3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新細明體" w:hAnsi="新細明體" w:hint="eastAsia"/>
          <w:szCs w:val="24"/>
          <w:lang w:eastAsia="zh-HK"/>
        </w:rPr>
        <w:t>）</w:t>
      </w:r>
      <w:r w:rsidR="007E64A3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  <w:lang w:eastAsia="zh-HK"/>
        </w:rPr>
        <w:t>南</w:t>
      </w:r>
      <w:r w:rsidR="007E64A3" w:rsidRPr="004778FA">
        <w:rPr>
          <w:rFonts w:ascii="標楷體" w:eastAsia="標楷體" w:hAnsi="標楷體" w:hint="eastAsia"/>
          <w:szCs w:val="24"/>
        </w:rPr>
        <w:t>場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研習時間安排：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4287"/>
        <w:gridCol w:w="3477"/>
      </w:tblGrid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7E64A3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20</w:t>
            </w:r>
            <w:r w:rsidRPr="007E64A3">
              <w:rPr>
                <w:rFonts w:ascii="標楷體" w:eastAsia="標楷體" w:hAnsi="標楷體" w:hint="eastAsia"/>
                <w:szCs w:val="24"/>
              </w:rPr>
              <w:t>~13：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3E31F0" w:rsidRPr="003908BC" w:rsidTr="009850BE">
        <w:trPr>
          <w:trHeight w:val="70"/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093FA0" w:rsidP="00093FA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全教總咱糧學堂實施現況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咱糧學堂微電影</w:t>
            </w:r>
            <w:r w:rsidRPr="003908BC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093FA0" w:rsidRPr="003908BC" w:rsidTr="009850BE">
        <w:trPr>
          <w:jc w:val="center"/>
        </w:trPr>
        <w:tc>
          <w:tcPr>
            <w:tcW w:w="1061" w:type="pct"/>
          </w:tcPr>
          <w:p w:rsidR="00093FA0" w:rsidRPr="003908BC" w:rsidRDefault="001B74B3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093FA0"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093FA0">
              <w:rPr>
                <w:rFonts w:ascii="標楷體" w:eastAsia="標楷體" w:hAnsi="標楷體"/>
                <w:szCs w:val="24"/>
              </w:rPr>
              <w:t>5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093FA0" w:rsidRPr="003908BC" w:rsidRDefault="00093FA0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093FA0" w:rsidRPr="003908BC" w:rsidRDefault="00093FA0" w:rsidP="00093FA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4D0238" w:rsidP="00CD488F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小麥麵粉的運用與比薩創作</w:t>
            </w:r>
          </w:p>
        </w:tc>
        <w:tc>
          <w:tcPr>
            <w:tcW w:w="1764" w:type="pct"/>
          </w:tcPr>
          <w:p w:rsidR="003E31F0" w:rsidRPr="003908BC" w:rsidRDefault="00060DA8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臺南市官田國中咱糧團隊</w:t>
            </w:r>
          </w:p>
        </w:tc>
      </w:tr>
      <w:tr w:rsidR="00AA717D" w:rsidRPr="003908BC" w:rsidTr="009850BE">
        <w:trPr>
          <w:jc w:val="center"/>
        </w:trPr>
        <w:tc>
          <w:tcPr>
            <w:tcW w:w="1061" w:type="pct"/>
          </w:tcPr>
          <w:p w:rsidR="00AA717D" w:rsidRPr="003908BC" w:rsidRDefault="00AA717D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AA717D" w:rsidRPr="003908BC" w:rsidRDefault="00AA717D" w:rsidP="00E47498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教師交流/綜合討論/研習總結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</w:t>
            </w:r>
          </w:p>
        </w:tc>
        <w:tc>
          <w:tcPr>
            <w:tcW w:w="1764" w:type="pct"/>
          </w:tcPr>
          <w:p w:rsidR="00AA717D" w:rsidRPr="003908BC" w:rsidRDefault="00AA717D" w:rsidP="00E47498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全體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工作人員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="00EB7562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283A7E" w:rsidRDefault="00283A7E" w:rsidP="007C6079">
      <w:pPr>
        <w:rPr>
          <w:rFonts w:ascii="標楷體" w:eastAsia="標楷體" w:hAnsi="標楷體"/>
          <w:szCs w:val="24"/>
          <w:lang w:eastAsia="zh-HK"/>
        </w:rPr>
      </w:pPr>
    </w:p>
    <w:p w:rsidR="007E64A3" w:rsidRPr="007C6079" w:rsidRDefault="007C6079" w:rsidP="007C60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十</w:t>
      </w:r>
      <w:r>
        <w:rPr>
          <w:rFonts w:ascii="新細明體" w:hAnsi="新細明體" w:hint="eastAsia"/>
          <w:szCs w:val="24"/>
          <w:lang w:eastAsia="zh-HK"/>
        </w:rPr>
        <w:t>、</w:t>
      </w:r>
      <w:r w:rsidR="007E64A3" w:rsidRPr="007C6079">
        <w:rPr>
          <w:rFonts w:ascii="標楷體" w:eastAsia="標楷體" w:hAnsi="標楷體" w:hint="eastAsia"/>
          <w:szCs w:val="24"/>
        </w:rPr>
        <w:t>未盡事宜由本會理事長修正後實施。</w:t>
      </w:r>
    </w:p>
    <w:p w:rsidR="007E64A3" w:rsidRPr="007E64A3" w:rsidRDefault="007E64A3" w:rsidP="00763FA7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</w:p>
    <w:p w:rsidR="00AB1174" w:rsidRPr="008B6203" w:rsidRDefault="007C6079" w:rsidP="007C6079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十一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本計畫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r w:rsidR="00F633D4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游喬琳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4B30D9" w:rsidRPr="00AB1174" w:rsidRDefault="00AB1174" w:rsidP="00AA717D">
      <w:pPr>
        <w:tabs>
          <w:tab w:val="left" w:pos="567"/>
        </w:tabs>
        <w:spacing w:line="400" w:lineRule="exact"/>
        <w:ind w:left="567"/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hyperlink r:id="rId10" w:history="1">
        <w:r w:rsidR="00283A7E" w:rsidRPr="003505C9">
          <w:rPr>
            <w:rStyle w:val="ab"/>
            <w:rFonts w:asciiTheme="majorHAnsi" w:hAnsiTheme="majorHAnsi" w:cs="Arial"/>
            <w:szCs w:val="24"/>
            <w:shd w:val="clear" w:color="auto" w:fill="FFFFFF"/>
          </w:rPr>
          <w:t>spell127@nftu.org.tw</w:t>
        </w:r>
      </w:hyperlink>
    </w:p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AC" w:rsidRDefault="008315AC" w:rsidP="00DC2147">
      <w:r>
        <w:separator/>
      </w:r>
    </w:p>
  </w:endnote>
  <w:endnote w:type="continuationSeparator" w:id="0">
    <w:p w:rsidR="008315AC" w:rsidRDefault="008315AC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AC" w:rsidRDefault="008315AC" w:rsidP="00DC2147">
      <w:r>
        <w:separator/>
      </w:r>
    </w:p>
  </w:footnote>
  <w:footnote w:type="continuationSeparator" w:id="0">
    <w:p w:rsidR="008315AC" w:rsidRDefault="008315AC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111"/>
    <w:multiLevelType w:val="hybridMultilevel"/>
    <w:tmpl w:val="454CF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3">
    <w:nsid w:val="5A4134A9"/>
    <w:multiLevelType w:val="hybridMultilevel"/>
    <w:tmpl w:val="B396258E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0922BA7C">
      <w:start w:val="1"/>
      <w:numFmt w:val="taiwaneseCountingThousand"/>
      <w:lvlText w:val="%3、"/>
      <w:lvlJc w:val="left"/>
      <w:pPr>
        <w:ind w:left="1713" w:hanging="720"/>
      </w:pPr>
      <w:rPr>
        <w:rFonts w:hint="default"/>
        <w:lang w:val="en-US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4"/>
    <w:rsid w:val="0003022F"/>
    <w:rsid w:val="00052E96"/>
    <w:rsid w:val="0005789F"/>
    <w:rsid w:val="00060DA8"/>
    <w:rsid w:val="00093FA0"/>
    <w:rsid w:val="000A3EC9"/>
    <w:rsid w:val="000A5912"/>
    <w:rsid w:val="00126C5E"/>
    <w:rsid w:val="00131C3B"/>
    <w:rsid w:val="00147B86"/>
    <w:rsid w:val="00175F41"/>
    <w:rsid w:val="001B74B3"/>
    <w:rsid w:val="0023370B"/>
    <w:rsid w:val="00283A7E"/>
    <w:rsid w:val="002B2071"/>
    <w:rsid w:val="00322CE9"/>
    <w:rsid w:val="003A7AE6"/>
    <w:rsid w:val="003E31F0"/>
    <w:rsid w:val="00412085"/>
    <w:rsid w:val="004157EB"/>
    <w:rsid w:val="00473B9E"/>
    <w:rsid w:val="004B30D9"/>
    <w:rsid w:val="004B41E6"/>
    <w:rsid w:val="004D0238"/>
    <w:rsid w:val="004D7C27"/>
    <w:rsid w:val="004F09F2"/>
    <w:rsid w:val="004F5A9C"/>
    <w:rsid w:val="00522961"/>
    <w:rsid w:val="005609A3"/>
    <w:rsid w:val="005754AB"/>
    <w:rsid w:val="005F2D44"/>
    <w:rsid w:val="00623CC0"/>
    <w:rsid w:val="0062487B"/>
    <w:rsid w:val="00635CE9"/>
    <w:rsid w:val="00652139"/>
    <w:rsid w:val="00691F98"/>
    <w:rsid w:val="00763FA7"/>
    <w:rsid w:val="007C6079"/>
    <w:rsid w:val="007E64A3"/>
    <w:rsid w:val="007F476C"/>
    <w:rsid w:val="008315AC"/>
    <w:rsid w:val="0088581E"/>
    <w:rsid w:val="00897C3E"/>
    <w:rsid w:val="008B6203"/>
    <w:rsid w:val="008C5670"/>
    <w:rsid w:val="008C6C41"/>
    <w:rsid w:val="009850BE"/>
    <w:rsid w:val="00A04BDE"/>
    <w:rsid w:val="00A448B9"/>
    <w:rsid w:val="00AA717D"/>
    <w:rsid w:val="00AB1174"/>
    <w:rsid w:val="00B235AD"/>
    <w:rsid w:val="00B573B7"/>
    <w:rsid w:val="00BE5CE5"/>
    <w:rsid w:val="00C631FB"/>
    <w:rsid w:val="00C662A9"/>
    <w:rsid w:val="00C8673C"/>
    <w:rsid w:val="00CD2C00"/>
    <w:rsid w:val="00CD74B3"/>
    <w:rsid w:val="00D13390"/>
    <w:rsid w:val="00D37A50"/>
    <w:rsid w:val="00DC2147"/>
    <w:rsid w:val="00DE10B7"/>
    <w:rsid w:val="00E537AF"/>
    <w:rsid w:val="00E544FF"/>
    <w:rsid w:val="00EB7562"/>
    <w:rsid w:val="00ED4CA6"/>
    <w:rsid w:val="00EE4D32"/>
    <w:rsid w:val="00F007EC"/>
    <w:rsid w:val="00F633D4"/>
    <w:rsid w:val="00F751E8"/>
    <w:rsid w:val="00F93BF1"/>
    <w:rsid w:val="00FB2F49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8C6C41"/>
    <w:rPr>
      <w:color w:val="808080"/>
    </w:rPr>
  </w:style>
  <w:style w:type="paragraph" w:styleId="aa">
    <w:name w:val="List Paragraph"/>
    <w:basedOn w:val="a"/>
    <w:uiPriority w:val="34"/>
    <w:qFormat/>
    <w:rsid w:val="007E64A3"/>
    <w:pPr>
      <w:ind w:leftChars="200" w:left="48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83A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FC6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8C6C41"/>
    <w:rPr>
      <w:color w:val="808080"/>
    </w:rPr>
  </w:style>
  <w:style w:type="paragraph" w:styleId="aa">
    <w:name w:val="List Paragraph"/>
    <w:basedOn w:val="a"/>
    <w:uiPriority w:val="34"/>
    <w:qFormat/>
    <w:rsid w:val="007E64A3"/>
    <w:pPr>
      <w:ind w:leftChars="200" w:left="48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83A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FC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9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ell127@nftu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Company>C.M.T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cp:lastPrinted>2017-08-16T07:48:00Z</cp:lastPrinted>
  <dcterms:created xsi:type="dcterms:W3CDTF">2017-08-23T07:42:00Z</dcterms:created>
  <dcterms:modified xsi:type="dcterms:W3CDTF">2017-08-23T07:42:00Z</dcterms:modified>
</cp:coreProperties>
</file>